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30FB4" w14:textId="7DDE5178" w:rsidR="00FE7405" w:rsidRPr="00562895" w:rsidRDefault="00FE7405" w:rsidP="00FE7405">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w:t>
      </w:r>
      <w:r w:rsidR="00513580" w:rsidRPr="00562895">
        <w:rPr>
          <w:rFonts w:ascii="Times New Roman" w:hAnsi="Times New Roman"/>
          <w:sz w:val="24"/>
          <w:lang w:eastAsia="zh-CN"/>
        </w:rPr>
        <w:t>11</w:t>
      </w:r>
      <w:r w:rsidR="00513580">
        <w:rPr>
          <w:rFonts w:ascii="Times New Roman" w:hAnsi="Times New Roman"/>
          <w:sz w:val="24"/>
          <w:lang w:eastAsia="zh-CN"/>
        </w:rPr>
        <w:t>3</w:t>
      </w:r>
      <w:r w:rsidR="00513580" w:rsidRPr="00562895">
        <w:rPr>
          <w:rFonts w:ascii="Times New Roman" w:hAnsi="Times New Roman"/>
          <w:sz w:val="24"/>
          <w:lang w:eastAsia="zh-CN"/>
        </w:rPr>
        <w:t xml:space="preserve"> </w:t>
      </w:r>
      <w:r w:rsidRPr="00562895">
        <w:rPr>
          <w:rFonts w:ascii="Times New Roman" w:hAnsi="Times New Roman"/>
          <w:sz w:val="24"/>
          <w:lang w:eastAsia="zh-CN"/>
        </w:rPr>
        <w:t>electronic</w:t>
      </w:r>
      <w:r w:rsidRPr="00562895">
        <w:rPr>
          <w:rFonts w:ascii="Times New Roman" w:hAnsi="Times New Roman"/>
          <w:sz w:val="24"/>
          <w:lang w:eastAsia="zh-CN"/>
        </w:rPr>
        <w:tab/>
      </w:r>
      <w:bookmarkStart w:id="0" w:name="_GoBack"/>
      <w:r w:rsidR="007E10A3" w:rsidRPr="007E10A3">
        <w:rPr>
          <w:rFonts w:ascii="Times New Roman" w:hAnsi="Times New Roman"/>
          <w:sz w:val="24"/>
          <w:lang w:eastAsia="zh-CN"/>
        </w:rPr>
        <w:t>R2-2101111</w:t>
      </w:r>
      <w:bookmarkEnd w:id="0"/>
    </w:p>
    <w:p w14:paraId="18E89159" w14:textId="77777777" w:rsidR="00A71365" w:rsidRPr="00A71365" w:rsidRDefault="00A71365" w:rsidP="00A71365">
      <w:pPr>
        <w:pStyle w:val="a3"/>
        <w:tabs>
          <w:tab w:val="right" w:pos="9639"/>
        </w:tabs>
        <w:jc w:val="both"/>
        <w:rPr>
          <w:rFonts w:ascii="Times New Roman" w:hAnsi="Times New Roman"/>
          <w:sz w:val="24"/>
          <w:lang w:eastAsia="zh-CN"/>
        </w:rPr>
      </w:pPr>
      <w:r w:rsidRPr="00A71365">
        <w:rPr>
          <w:rFonts w:ascii="Times New Roman" w:hAnsi="Times New Roman"/>
          <w:sz w:val="24"/>
          <w:lang w:eastAsia="zh-CN"/>
        </w:rPr>
        <w:t>Online, Jan 25 – Feb 5, 2021</w:t>
      </w:r>
    </w:p>
    <w:p w14:paraId="2769C966" w14:textId="77777777" w:rsidR="00445C9F" w:rsidRPr="00FE7405" w:rsidRDefault="00445C9F" w:rsidP="00445C9F">
      <w:pPr>
        <w:overflowPunct w:val="0"/>
        <w:autoSpaceDE w:val="0"/>
        <w:autoSpaceDN w:val="0"/>
        <w:adjustRightInd w:val="0"/>
        <w:textAlignment w:val="baseline"/>
        <w:rPr>
          <w:rFonts w:ascii="Times New Roman" w:hAnsi="Times New Roman"/>
          <w:b/>
          <w:color w:val="000000"/>
          <w:sz w:val="24"/>
          <w:szCs w:val="24"/>
        </w:rPr>
      </w:pPr>
    </w:p>
    <w:p w14:paraId="2060189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B97BA8">
        <w:rPr>
          <w:rFonts w:ascii="Times New Roman" w:eastAsia="宋体" w:hAnsi="Times New Roman"/>
          <w:b/>
          <w:bCs/>
          <w:kern w:val="2"/>
          <w:sz w:val="24"/>
          <w:szCs w:val="22"/>
          <w:lang w:val="en-US" w:eastAsia="zh-CN"/>
        </w:rPr>
        <w:t>5</w:t>
      </w:r>
    </w:p>
    <w:p w14:paraId="219CE83F"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868EFB"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97BA8">
        <w:rPr>
          <w:rFonts w:ascii="Times New Roman" w:hAnsi="Times New Roman" w:hint="eastAsia"/>
          <w:b/>
          <w:bCs/>
          <w:sz w:val="24"/>
        </w:rPr>
        <w:t>Con</w:t>
      </w:r>
      <w:r w:rsidR="00B97BA8">
        <w:rPr>
          <w:rFonts w:ascii="Times New Roman" w:hAnsi="Times New Roman"/>
          <w:b/>
          <w:bCs/>
          <w:sz w:val="24"/>
        </w:rPr>
        <w:t>sideration on CG based small data transmission</w:t>
      </w:r>
    </w:p>
    <w:p w14:paraId="142801B6"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5DD66461" w14:textId="58DA9BB3"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36C8E39E" w14:textId="033E1849" w:rsidR="00B97BA8" w:rsidRDefault="00B97BA8" w:rsidP="00B97BA8">
      <w:pPr>
        <w:spacing w:beforeLines="50" w:before="156" w:afterLines="50" w:after="156"/>
      </w:pPr>
      <w:bookmarkStart w:id="3" w:name="_Hlk54163088"/>
      <w:bookmarkStart w:id="4" w:name="Proposal_Beacon"/>
      <w:r>
        <w:rPr>
          <w:rFonts w:ascii="Times New Roman" w:hAnsi="Times New Roman"/>
          <w:sz w:val="20"/>
          <w:szCs w:val="20"/>
          <w:lang w:val="en-GB"/>
        </w:rPr>
        <w:t>In RAN2#11</w:t>
      </w:r>
      <w:r w:rsidR="00200148">
        <w:rPr>
          <w:rFonts w:ascii="Times New Roman" w:hAnsi="Times New Roman"/>
          <w:sz w:val="20"/>
          <w:szCs w:val="20"/>
          <w:lang w:val="en-GB"/>
        </w:rPr>
        <w:t>2</w:t>
      </w:r>
      <w:r>
        <w:rPr>
          <w:rFonts w:ascii="Times New Roman" w:hAnsi="Times New Roman"/>
          <w:sz w:val="20"/>
          <w:szCs w:val="20"/>
          <w:lang w:val="en-GB"/>
        </w:rPr>
        <w:t>e meeting,</w:t>
      </w:r>
      <w:r>
        <w:rPr>
          <w:rFonts w:ascii="Times New Roman" w:hAnsi="Times New Roman"/>
          <w:szCs w:val="20"/>
        </w:rPr>
        <w:t xml:space="preserve"> </w:t>
      </w:r>
      <w:r>
        <w:rPr>
          <w:rFonts w:ascii="Times New Roman" w:hAnsi="Times New Roman"/>
          <w:sz w:val="20"/>
          <w:szCs w:val="20"/>
          <w:lang w:val="en-GB"/>
        </w:rPr>
        <w:t>the following agreements on</w:t>
      </w:r>
      <w:r w:rsidR="00200148">
        <w:rPr>
          <w:rFonts w:ascii="Times New Roman" w:hAnsi="Times New Roman"/>
          <w:sz w:val="20"/>
          <w:szCs w:val="20"/>
          <w:lang w:val="en-GB"/>
        </w:rPr>
        <w:t xml:space="preserve"> CG based</w:t>
      </w:r>
      <w:r>
        <w:rPr>
          <w:rFonts w:ascii="Times New Roman" w:hAnsi="Times New Roman"/>
          <w:sz w:val="20"/>
          <w:szCs w:val="20"/>
          <w:lang w:val="en-GB"/>
        </w:rPr>
        <w:t xml:space="preserve"> small data transmission were made as in [1]:</w:t>
      </w:r>
    </w:p>
    <w:tbl>
      <w:tblPr>
        <w:tblStyle w:val="ad"/>
        <w:tblW w:w="0" w:type="auto"/>
        <w:jc w:val="center"/>
        <w:tblLook w:val="04A0" w:firstRow="1" w:lastRow="0" w:firstColumn="1" w:lastColumn="0" w:noHBand="0" w:noVBand="1"/>
      </w:tblPr>
      <w:tblGrid>
        <w:gridCol w:w="9629"/>
      </w:tblGrid>
      <w:tr w:rsidR="00B97BA8" w14:paraId="627717C8" w14:textId="77777777" w:rsidTr="00772636">
        <w:trPr>
          <w:jc w:val="center"/>
        </w:trPr>
        <w:tc>
          <w:tcPr>
            <w:tcW w:w="10194" w:type="dxa"/>
          </w:tcPr>
          <w:p w14:paraId="6BA4C0A1" w14:textId="77777777" w:rsidR="00200148" w:rsidRDefault="00B97BA8" w:rsidP="00200148">
            <w:pPr>
              <w:pStyle w:val="Doc-text2"/>
              <w:ind w:left="0" w:firstLine="0"/>
            </w:pPr>
            <w:r w:rsidRPr="008F6B60">
              <w:rPr>
                <w:highlight w:val="green"/>
              </w:rPr>
              <w:t>Agreements:</w:t>
            </w:r>
          </w:p>
          <w:p w14:paraId="1BD2033E" w14:textId="77777777" w:rsidR="00200148" w:rsidRDefault="00200148" w:rsidP="00200148">
            <w:pPr>
              <w:pStyle w:val="Doc-text2"/>
              <w:numPr>
                <w:ilvl w:val="0"/>
                <w:numId w:val="10"/>
              </w:numPr>
              <w:jc w:val="both"/>
            </w:pPr>
            <w:r w:rsidRPr="00965383">
              <w:t xml:space="preserve">The configuration of configured grant resource for UE uplink small data transfer is contained in the </w:t>
            </w:r>
            <w:proofErr w:type="spellStart"/>
            <w:r w:rsidRPr="00965383">
              <w:t>RRCRelease</w:t>
            </w:r>
            <w:proofErr w:type="spellEnd"/>
            <w:r w:rsidRPr="00965383">
              <w:t xml:space="preserve"> message</w:t>
            </w:r>
            <w:r>
              <w:t xml:space="preserve">.  FFS if other dedicated messages can configure CG in INACTIVE CG. Configuration is only type 1 CG with no contention resolution procedure for CG. </w:t>
            </w:r>
          </w:p>
          <w:p w14:paraId="62D31380" w14:textId="77777777" w:rsidR="00200148" w:rsidRDefault="00200148" w:rsidP="00200148">
            <w:pPr>
              <w:pStyle w:val="Doc-text2"/>
              <w:numPr>
                <w:ilvl w:val="0"/>
                <w:numId w:val="10"/>
              </w:numPr>
              <w:jc w:val="both"/>
            </w:pPr>
            <w:r w:rsidRPr="00F67983">
              <w:t xml:space="preserve">The configuration of configured grant resource can include one type 1 CG configuration.  FFS if multiple configured </w:t>
            </w:r>
            <w:r>
              <w:t xml:space="preserve">CGs are </w:t>
            </w:r>
            <w:r w:rsidRPr="00F67983">
              <w:t>allowed</w:t>
            </w:r>
          </w:p>
          <w:p w14:paraId="569FF542" w14:textId="77777777" w:rsidR="00200148" w:rsidRDefault="00200148" w:rsidP="00200148">
            <w:pPr>
              <w:pStyle w:val="Doc-text2"/>
              <w:numPr>
                <w:ilvl w:val="0"/>
                <w:numId w:val="10"/>
              </w:numPr>
              <w:jc w:val="both"/>
            </w:pPr>
            <w:r w:rsidRPr="007F35AC">
              <w:t>A new TA timer for TA maintenance specified for configured grant based small data transfer in RRC_INACTIVE should be introduced.</w:t>
            </w:r>
            <w:r>
              <w:t xml:space="preserve">  FFS on the procedure, the validity of TA, and how to handle expiration of TA timer.  The TA timer is configured together with the CG configuration in the </w:t>
            </w:r>
            <w:proofErr w:type="spellStart"/>
            <w:r>
              <w:t>RRCRelease</w:t>
            </w:r>
            <w:proofErr w:type="spellEnd"/>
            <w:r>
              <w:t xml:space="preserve"> message.</w:t>
            </w:r>
          </w:p>
          <w:p w14:paraId="5190C40F" w14:textId="77777777" w:rsidR="00200148" w:rsidRDefault="00200148" w:rsidP="00200148">
            <w:pPr>
              <w:pStyle w:val="Doc-text2"/>
              <w:numPr>
                <w:ilvl w:val="0"/>
                <w:numId w:val="10"/>
              </w:numPr>
              <w:jc w:val="both"/>
            </w:pPr>
            <w:r w:rsidRPr="007F35AC">
              <w:t>The configuration of configured grant resource for UE small data transmission is valid only in the same serving cell</w:t>
            </w:r>
            <w:r>
              <w:t>.  FFS for other CG validity criteria (e.g. timer, UL/SUL aspect, etc)</w:t>
            </w:r>
          </w:p>
          <w:p w14:paraId="39BE608C" w14:textId="77777777" w:rsidR="00200148" w:rsidRDefault="00200148" w:rsidP="00200148">
            <w:pPr>
              <w:pStyle w:val="Doc-text2"/>
              <w:numPr>
                <w:ilvl w:val="0"/>
                <w:numId w:val="10"/>
              </w:numPr>
              <w:jc w:val="both"/>
            </w:pPr>
            <w:r w:rsidRPr="007F35AC">
              <w:t xml:space="preserve">The UE </w:t>
            </w:r>
            <w:r>
              <w:t>can use</w:t>
            </w:r>
            <w:r w:rsidRPr="007F35AC">
              <w:t xml:space="preserve"> configured grant based small data transfer </w:t>
            </w:r>
            <w:r>
              <w:t xml:space="preserve">if </w:t>
            </w:r>
            <w:r w:rsidRPr="007F35AC">
              <w:t xml:space="preserve">at least </w:t>
            </w:r>
            <w:r>
              <w:t>the following criteria is fulfilled</w:t>
            </w:r>
            <w:r w:rsidRPr="007F35AC">
              <w:t xml:space="preserve"> (1) user data is smaller than the data volume threshold; (2) configured grant resource is configured</w:t>
            </w:r>
            <w:r>
              <w:t xml:space="preserve"> and valid</w:t>
            </w:r>
            <w:r w:rsidRPr="007F35AC">
              <w:t>; (3) UE has valid TA</w:t>
            </w:r>
            <w:r>
              <w:t xml:space="preserve">.  FFS for the candidate beam criteria.  </w:t>
            </w:r>
          </w:p>
          <w:p w14:paraId="578AA051" w14:textId="77777777" w:rsidR="00200148" w:rsidRDefault="00200148" w:rsidP="00200148">
            <w:pPr>
              <w:pStyle w:val="Doc-text2"/>
              <w:numPr>
                <w:ilvl w:val="0"/>
                <w:numId w:val="10"/>
              </w:numPr>
              <w:jc w:val="both"/>
            </w:pPr>
            <w:r w:rsidRPr="00EF6CEA">
              <w:t>From RAN2 point of view</w:t>
            </w:r>
            <w:r>
              <w:t>: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2E125E2" w14:textId="18E773C6" w:rsidR="00B97BA8" w:rsidRPr="00200148" w:rsidRDefault="00200148" w:rsidP="00200148">
            <w:pPr>
              <w:pStyle w:val="Doc-text2"/>
              <w:numPr>
                <w:ilvl w:val="0"/>
                <w:numId w:val="10"/>
              </w:numPr>
              <w:jc w:val="both"/>
            </w:pPr>
            <w:r>
              <w:t>A SS-RSRP threshold is configured for SSB selection. UE selects one of the SSB with SS-RSRP above the threshold and selects the associated CG resource for UL data transmission.</w:t>
            </w:r>
          </w:p>
        </w:tc>
      </w:tr>
    </w:tbl>
    <w:p w14:paraId="0DD834D7" w14:textId="47A50614" w:rsidR="009E72E5" w:rsidRPr="007E10A3" w:rsidRDefault="00B97BA8" w:rsidP="00445C9F">
      <w:pPr>
        <w:spacing w:beforeLines="50" w:before="156" w:afterLines="50" w:after="156"/>
        <w:rPr>
          <w:rFonts w:ascii="Times New Roman" w:hAnsi="Times New Roman"/>
          <w:sz w:val="20"/>
          <w:szCs w:val="20"/>
          <w:lang w:val="x-none"/>
        </w:rPr>
      </w:pPr>
      <w:r>
        <w:rPr>
          <w:rFonts w:ascii="Times New Roman" w:hAnsi="Times New Roman"/>
          <w:sz w:val="20"/>
          <w:szCs w:val="20"/>
          <w:lang w:val="en-GB"/>
        </w:rPr>
        <w:t xml:space="preserve">In this contribution, it mainly focuses on the </w:t>
      </w:r>
      <w:r w:rsidR="006E2B33">
        <w:rPr>
          <w:rFonts w:ascii="Times New Roman" w:hAnsi="Times New Roman"/>
          <w:sz w:val="20"/>
          <w:szCs w:val="20"/>
          <w:lang w:val="en-GB"/>
        </w:rPr>
        <w:t>CG based small data transmission, it includ</w:t>
      </w:r>
      <w:r w:rsidR="009754EB">
        <w:rPr>
          <w:rFonts w:ascii="Times New Roman" w:hAnsi="Times New Roman"/>
          <w:sz w:val="20"/>
          <w:szCs w:val="20"/>
          <w:lang w:val="en-GB"/>
        </w:rPr>
        <w:t>es the</w:t>
      </w:r>
      <w:r w:rsidR="007E10A3">
        <w:rPr>
          <w:rFonts w:ascii="Times New Roman" w:hAnsi="Times New Roman"/>
          <w:sz w:val="20"/>
          <w:szCs w:val="20"/>
          <w:lang w:val="en-GB"/>
        </w:rPr>
        <w:t xml:space="preserve"> analysis on</w:t>
      </w:r>
      <w:r w:rsidR="009754EB">
        <w:rPr>
          <w:rFonts w:ascii="Times New Roman" w:hAnsi="Times New Roman"/>
          <w:sz w:val="20"/>
          <w:szCs w:val="20"/>
          <w:lang w:val="en-GB"/>
        </w:rPr>
        <w:t xml:space="preserve"> CG configuration, the </w:t>
      </w:r>
      <w:r w:rsidR="007E10A3">
        <w:rPr>
          <w:rFonts w:ascii="Times New Roman" w:hAnsi="Times New Roman"/>
          <w:sz w:val="20"/>
          <w:szCs w:val="20"/>
          <w:lang w:val="en-GB"/>
        </w:rPr>
        <w:t>TA validity, and UAC.</w:t>
      </w:r>
    </w:p>
    <w:bookmarkEnd w:id="3"/>
    <w:p w14:paraId="3A6FE623" w14:textId="77777777" w:rsidR="009754EB" w:rsidRDefault="00445C9F" w:rsidP="009754EB">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0BCEECB2" w14:textId="298EBD79" w:rsidR="009754EB" w:rsidRPr="009E3C78" w:rsidRDefault="009E3C78" w:rsidP="009E3C78">
      <w:pPr>
        <w:pStyle w:val="2"/>
        <w:numPr>
          <w:ilvl w:val="0"/>
          <w:numId w:val="0"/>
        </w:numPr>
        <w:spacing w:line="240" w:lineRule="auto"/>
        <w:ind w:left="576" w:hanging="576"/>
        <w:rPr>
          <w:sz w:val="24"/>
          <w:szCs w:val="24"/>
          <w:u w:val="single"/>
        </w:rPr>
      </w:pPr>
      <w:r>
        <w:rPr>
          <w:sz w:val="24"/>
          <w:szCs w:val="24"/>
          <w:u w:val="single"/>
        </w:rPr>
        <w:t xml:space="preserve">The </w:t>
      </w:r>
      <w:r w:rsidRPr="009E3C78">
        <w:rPr>
          <w:sz w:val="24"/>
          <w:szCs w:val="24"/>
          <w:u w:val="single"/>
        </w:rPr>
        <w:t xml:space="preserve">configuration of </w:t>
      </w:r>
      <w:r w:rsidR="009754EB" w:rsidRPr="009E3C78">
        <w:rPr>
          <w:sz w:val="24"/>
          <w:szCs w:val="24"/>
          <w:u w:val="single"/>
        </w:rPr>
        <w:t xml:space="preserve">CG </w:t>
      </w:r>
      <w:r w:rsidRPr="009E3C78">
        <w:rPr>
          <w:sz w:val="24"/>
          <w:szCs w:val="24"/>
          <w:u w:val="single"/>
        </w:rPr>
        <w:t xml:space="preserve">resource </w:t>
      </w:r>
    </w:p>
    <w:p w14:paraId="7155C017" w14:textId="5E16585B" w:rsidR="009E72E5" w:rsidRDefault="009E72E5" w:rsidP="00673647">
      <w:pPr>
        <w:spacing w:beforeLines="50" w:before="156" w:afterLines="50" w:after="156"/>
      </w:pPr>
      <w:r>
        <w:t>As in [</w:t>
      </w:r>
      <w:r w:rsidR="009E3C78">
        <w:t>2</w:t>
      </w:r>
      <w:r>
        <w:t xml:space="preserve">], multiple </w:t>
      </w:r>
      <w:r w:rsidR="00D63121">
        <w:t>types</w:t>
      </w:r>
      <w:r>
        <w:t xml:space="preserve"> of </w:t>
      </w:r>
      <w:r w:rsidR="00D63121">
        <w:t>traffic</w:t>
      </w:r>
      <w:r>
        <w:t xml:space="preserve"> could be applied to small data transmission, such as </w:t>
      </w:r>
      <w:r w:rsidR="004A1EA8">
        <w:t xml:space="preserve">traffic from Instant Messaging services, Heart-beat/keep-alive traffic, </w:t>
      </w:r>
      <w:r w:rsidR="00197963">
        <w:t>t</w:t>
      </w:r>
      <w:r w:rsidR="004A1EA8">
        <w:t>raffic from wearables</w:t>
      </w:r>
      <w:r w:rsidR="009E3C78">
        <w:t>,</w:t>
      </w:r>
      <w:r w:rsidR="004A1EA8">
        <w:t xml:space="preserve"> </w:t>
      </w:r>
      <w:r w:rsidR="009E3C78">
        <w:t>t</w:t>
      </w:r>
      <w:r w:rsidR="004A1EA8">
        <w:t xml:space="preserve">hose </w:t>
      </w:r>
      <w:r w:rsidR="00D63121">
        <w:t>services</w:t>
      </w:r>
      <w:r w:rsidR="004A1EA8">
        <w:t xml:space="preserve"> have different traffic pattern and</w:t>
      </w:r>
      <w:r w:rsidR="00197963">
        <w:t xml:space="preserve"> some of them</w:t>
      </w:r>
      <w:r w:rsidR="004A1EA8">
        <w:t xml:space="preserve"> could be </w:t>
      </w:r>
      <w:r w:rsidR="00197963">
        <w:t>applied in the same UE</w:t>
      </w:r>
      <w:r w:rsidR="009E3C78">
        <w:t xml:space="preserve">. Besides, </w:t>
      </w:r>
      <w:r w:rsidR="00650DB8">
        <w:t xml:space="preserve">as in [3], </w:t>
      </w:r>
      <w:r w:rsidR="009E3C78">
        <w:t xml:space="preserve">the </w:t>
      </w:r>
      <w:r w:rsidR="001D7449">
        <w:t>CG resource may be beam specific, the inactive UE needs to get the suitable beam specific CG resource for UL data. Thu</w:t>
      </w:r>
      <w:r w:rsidR="00DA6D43">
        <w:t>s</w:t>
      </w:r>
      <w:r w:rsidR="001D7449">
        <w:t>, c</w:t>
      </w:r>
      <w:r w:rsidR="00D63121">
        <w:t xml:space="preserve">onsidering the </w:t>
      </w:r>
      <w:r w:rsidR="005E0D59">
        <w:t xml:space="preserve">possible </w:t>
      </w:r>
      <w:r w:rsidR="00D63121">
        <w:t xml:space="preserve">multiple </w:t>
      </w:r>
      <w:r w:rsidR="00D63121">
        <w:lastRenderedPageBreak/>
        <w:t>traffic</w:t>
      </w:r>
      <w:r w:rsidR="005E0D59">
        <w:t>s</w:t>
      </w:r>
      <w:r w:rsidR="001D7449">
        <w:t xml:space="preserve"> in UE and multiple beam specific CG resources </w:t>
      </w:r>
      <w:r w:rsidR="005E0D59">
        <w:t xml:space="preserve">for </w:t>
      </w:r>
      <w:r w:rsidR="00DA6D43">
        <w:t xml:space="preserve">SDT UE, </w:t>
      </w:r>
      <w:r w:rsidR="00D63121">
        <w:t xml:space="preserve">multiple CG resource </w:t>
      </w:r>
      <w:r w:rsidR="00DA6D43">
        <w:t xml:space="preserve">is suggested to be applied </w:t>
      </w:r>
      <w:r w:rsidR="00546D15">
        <w:t>to UE.</w:t>
      </w:r>
    </w:p>
    <w:p w14:paraId="3304FA30" w14:textId="538E698B" w:rsidR="00527F08" w:rsidRDefault="00546D15" w:rsidP="00445C9F">
      <w:pPr>
        <w:spacing w:beforeLines="50" w:before="156" w:afterLines="50" w:after="156"/>
        <w:rPr>
          <w:b/>
          <w:bCs/>
        </w:rPr>
      </w:pPr>
      <w:r w:rsidRPr="005E0D59">
        <w:rPr>
          <w:b/>
          <w:bCs/>
        </w:rPr>
        <w:t>Proposal</w:t>
      </w:r>
      <w:r w:rsidR="008721BE">
        <w:rPr>
          <w:b/>
          <w:bCs/>
        </w:rPr>
        <w:t>1</w:t>
      </w:r>
      <w:r w:rsidRPr="005E0D59">
        <w:rPr>
          <w:b/>
          <w:bCs/>
        </w:rPr>
        <w:t xml:space="preserve">: </w:t>
      </w:r>
      <w:r w:rsidRPr="006E2B33">
        <w:rPr>
          <w:b/>
          <w:bCs/>
        </w:rPr>
        <w:t xml:space="preserve">More than one CG </w:t>
      </w:r>
      <w:r w:rsidR="00DA6D43">
        <w:rPr>
          <w:b/>
          <w:bCs/>
        </w:rPr>
        <w:t>resource</w:t>
      </w:r>
      <w:r w:rsidRPr="006E2B33">
        <w:rPr>
          <w:b/>
          <w:bCs/>
        </w:rPr>
        <w:t xml:space="preserve"> could be </w:t>
      </w:r>
      <w:r w:rsidR="005E0D59">
        <w:rPr>
          <w:b/>
          <w:bCs/>
        </w:rPr>
        <w:t>configured to</w:t>
      </w:r>
      <w:r w:rsidR="002668F0">
        <w:rPr>
          <w:b/>
          <w:bCs/>
        </w:rPr>
        <w:t xml:space="preserve"> </w:t>
      </w:r>
      <w:r w:rsidR="005E0D59">
        <w:rPr>
          <w:b/>
          <w:bCs/>
        </w:rPr>
        <w:t>UE</w:t>
      </w:r>
      <w:r w:rsidRPr="006E2B33">
        <w:rPr>
          <w:b/>
          <w:bCs/>
        </w:rPr>
        <w:t xml:space="preserve"> considering multipl</w:t>
      </w:r>
      <w:r w:rsidR="0087015B">
        <w:rPr>
          <w:b/>
          <w:bCs/>
        </w:rPr>
        <w:t>e</w:t>
      </w:r>
      <w:r w:rsidRPr="006E2B33">
        <w:rPr>
          <w:b/>
          <w:bCs/>
        </w:rPr>
        <w:t xml:space="preserve"> </w:t>
      </w:r>
      <w:r w:rsidR="0087015B">
        <w:rPr>
          <w:b/>
          <w:bCs/>
        </w:rPr>
        <w:t>traffic</w:t>
      </w:r>
      <w:r w:rsidR="005E0D59">
        <w:rPr>
          <w:b/>
          <w:bCs/>
        </w:rPr>
        <w:t>s</w:t>
      </w:r>
      <w:r w:rsidR="0087015B">
        <w:rPr>
          <w:b/>
          <w:bCs/>
        </w:rPr>
        <w:t xml:space="preserve"> </w:t>
      </w:r>
      <w:r w:rsidR="005E0D59">
        <w:rPr>
          <w:b/>
          <w:bCs/>
        </w:rPr>
        <w:t>are applied in</w:t>
      </w:r>
      <w:r w:rsidRPr="006E2B33">
        <w:rPr>
          <w:b/>
          <w:bCs/>
        </w:rPr>
        <w:t xml:space="preserve"> UE</w:t>
      </w:r>
      <w:r w:rsidR="005E0D59">
        <w:rPr>
          <w:b/>
          <w:bCs/>
        </w:rPr>
        <w:t xml:space="preserve"> </w:t>
      </w:r>
      <w:r w:rsidR="002668F0">
        <w:rPr>
          <w:b/>
          <w:bCs/>
        </w:rPr>
        <w:t xml:space="preserve">and </w:t>
      </w:r>
      <w:r w:rsidR="00EA46EF">
        <w:rPr>
          <w:b/>
          <w:bCs/>
        </w:rPr>
        <w:t xml:space="preserve">beam </w:t>
      </w:r>
      <w:r w:rsidR="002668F0">
        <w:rPr>
          <w:b/>
          <w:bCs/>
        </w:rPr>
        <w:t>specific CG resource configuration.</w:t>
      </w:r>
    </w:p>
    <w:p w14:paraId="6780DEB8" w14:textId="7BEAA7FE" w:rsidR="005E0D59" w:rsidRDefault="005E0D59" w:rsidP="00445C9F">
      <w:pPr>
        <w:spacing w:beforeLines="50" w:before="156" w:afterLines="50" w:after="156"/>
      </w:pPr>
      <w:r>
        <w:t xml:space="preserve">When UE transfers from connected mode to inactive mode, the CG configuration could be </w:t>
      </w:r>
      <w:r w:rsidR="00EE66F3">
        <w:t>configured</w:t>
      </w:r>
      <w:r>
        <w:t xml:space="preserve"> in RRC release message. </w:t>
      </w:r>
      <w:r w:rsidR="00CF27B4">
        <w:t>When</w:t>
      </w:r>
      <w:r w:rsidR="00071981">
        <w:t xml:space="preserve"> UE decide</w:t>
      </w:r>
      <w:r w:rsidR="00DF2A2D">
        <w:t>s</w:t>
      </w:r>
      <w:r w:rsidR="00071981">
        <w:t xml:space="preserve"> to initiate small data transmission over CG resource, it will send the UL data multiplexed with other information in </w:t>
      </w:r>
      <w:r w:rsidR="00AF4E7B">
        <w:t xml:space="preserve">the configured </w:t>
      </w:r>
      <w:r w:rsidR="00071981">
        <w:t>CG resource</w:t>
      </w:r>
      <w:r w:rsidR="00AF4E7B">
        <w:t>.</w:t>
      </w:r>
      <w:r w:rsidR="00071981">
        <w:t xml:space="preserve"> </w:t>
      </w:r>
      <w:r w:rsidR="002668F0">
        <w:t>The</w:t>
      </w:r>
      <w:r w:rsidR="00AF4E7B">
        <w:t xml:space="preserve"> CG resource is UE specific, </w:t>
      </w:r>
      <w:r w:rsidR="00071981">
        <w:t xml:space="preserve">UE will monitor </w:t>
      </w:r>
      <w:r w:rsidR="00EE66F3">
        <w:t xml:space="preserve">the </w:t>
      </w:r>
      <w:r w:rsidR="00EE66F3">
        <w:rPr>
          <w:rFonts w:hint="eastAsia"/>
        </w:rPr>
        <w:t>PDCCH</w:t>
      </w:r>
      <w:r w:rsidR="00EE66F3">
        <w:t xml:space="preserve"> based on UE specific RNTI</w:t>
      </w:r>
      <w:r w:rsidR="00EE66F3">
        <w:rPr>
          <w:rFonts w:hint="eastAsia"/>
        </w:rPr>
        <w:t xml:space="preserve"> for</w:t>
      </w:r>
      <w:r w:rsidR="00EE66F3">
        <w:t xml:space="preserve"> </w:t>
      </w:r>
      <w:r w:rsidR="00071981">
        <w:t>the response message</w:t>
      </w:r>
      <w:r w:rsidR="00527F08">
        <w:t xml:space="preserve">. In order to </w:t>
      </w:r>
      <w:r w:rsidR="002668F0">
        <w:t>perform t</w:t>
      </w:r>
      <w:r w:rsidR="00527F08">
        <w:t>he PDCCH</w:t>
      </w:r>
      <w:r w:rsidR="00EE66F3">
        <w:t xml:space="preserve"> monitoring</w:t>
      </w:r>
      <w:r w:rsidR="00527F08">
        <w:t xml:space="preserve">, the </w:t>
      </w:r>
      <w:r>
        <w:t>X-RNTI</w:t>
      </w:r>
      <w:r w:rsidR="00EE66F3">
        <w:t>,</w:t>
      </w:r>
      <w:r w:rsidR="00527F08">
        <w:t xml:space="preserve"> the </w:t>
      </w:r>
      <w:r w:rsidR="00EA46EF">
        <w:rPr>
          <w:rFonts w:hint="eastAsia"/>
        </w:rPr>
        <w:t>se</w:t>
      </w:r>
      <w:r w:rsidR="00EA46EF">
        <w:t xml:space="preserve">arch space and </w:t>
      </w:r>
      <w:r w:rsidR="009E3C78" w:rsidRPr="009E3C78">
        <w:t>control resource set (CORESET) information</w:t>
      </w:r>
      <w:r w:rsidR="00EE66F3">
        <w:t xml:space="preserve"> for PDCCH monitoring should be included in the CG configuration.</w:t>
      </w:r>
    </w:p>
    <w:p w14:paraId="55ED1ADA" w14:textId="0EC99606" w:rsidR="00071981" w:rsidRDefault="00071981" w:rsidP="00071981">
      <w:pPr>
        <w:spacing w:beforeLines="50" w:before="156" w:afterLines="50" w:after="156"/>
        <w:rPr>
          <w:b/>
          <w:bCs/>
        </w:rPr>
      </w:pPr>
      <w:r w:rsidRPr="006E2B33">
        <w:rPr>
          <w:b/>
          <w:bCs/>
        </w:rPr>
        <w:t>Proposal</w:t>
      </w:r>
      <w:r w:rsidR="008721BE">
        <w:rPr>
          <w:b/>
          <w:bCs/>
        </w:rPr>
        <w:t>2</w:t>
      </w:r>
      <w:r w:rsidRPr="006E2B33">
        <w:rPr>
          <w:b/>
          <w:bCs/>
        </w:rPr>
        <w:t xml:space="preserve">: The CG </w:t>
      </w:r>
      <w:r>
        <w:rPr>
          <w:b/>
          <w:bCs/>
        </w:rPr>
        <w:t>configuration</w:t>
      </w:r>
      <w:r w:rsidRPr="006E2B33">
        <w:rPr>
          <w:b/>
          <w:bCs/>
        </w:rPr>
        <w:t xml:space="preserve"> </w:t>
      </w:r>
      <w:r w:rsidR="00EE66F3">
        <w:rPr>
          <w:b/>
          <w:bCs/>
        </w:rPr>
        <w:t>needs to</w:t>
      </w:r>
      <w:r w:rsidRPr="006E2B33">
        <w:rPr>
          <w:b/>
          <w:bCs/>
        </w:rPr>
        <w:t xml:space="preserve"> includ</w:t>
      </w:r>
      <w:r w:rsidR="00EE66F3">
        <w:rPr>
          <w:b/>
          <w:bCs/>
        </w:rPr>
        <w:t>e</w:t>
      </w:r>
      <w:r w:rsidRPr="006E2B33">
        <w:rPr>
          <w:b/>
          <w:bCs/>
        </w:rPr>
        <w:t xml:space="preserve"> </w:t>
      </w:r>
      <w:r>
        <w:rPr>
          <w:b/>
          <w:bCs/>
        </w:rPr>
        <w:t xml:space="preserve">the </w:t>
      </w:r>
      <w:r w:rsidR="00EE66F3">
        <w:rPr>
          <w:b/>
          <w:bCs/>
        </w:rPr>
        <w:t xml:space="preserve">information of </w:t>
      </w:r>
      <w:r w:rsidRPr="006E2B33">
        <w:rPr>
          <w:b/>
          <w:bCs/>
        </w:rPr>
        <w:t>X-RNTI</w:t>
      </w:r>
      <w:r w:rsidR="00EE66F3">
        <w:rPr>
          <w:b/>
          <w:bCs/>
        </w:rPr>
        <w:t xml:space="preserve">, </w:t>
      </w:r>
      <w:r w:rsidR="00EE66F3" w:rsidRPr="00EE66F3">
        <w:rPr>
          <w:b/>
          <w:bCs/>
        </w:rPr>
        <w:t xml:space="preserve">the </w:t>
      </w:r>
      <w:r w:rsidR="00EE66F3" w:rsidRPr="00EE66F3">
        <w:rPr>
          <w:rFonts w:hint="eastAsia"/>
          <w:b/>
          <w:bCs/>
        </w:rPr>
        <w:t>se</w:t>
      </w:r>
      <w:r w:rsidR="00EE66F3" w:rsidRPr="00EE66F3">
        <w:rPr>
          <w:b/>
          <w:bCs/>
        </w:rPr>
        <w:t xml:space="preserve">arch space and control resource set (CORESET) </w:t>
      </w:r>
      <w:r>
        <w:rPr>
          <w:b/>
          <w:bCs/>
        </w:rPr>
        <w:t>for</w:t>
      </w:r>
      <w:r w:rsidR="00EE66F3">
        <w:rPr>
          <w:b/>
          <w:bCs/>
        </w:rPr>
        <w:t xml:space="preserve"> PDCCH monitoring for response message</w:t>
      </w:r>
      <w:r>
        <w:rPr>
          <w:b/>
          <w:bCs/>
        </w:rPr>
        <w:t>.</w:t>
      </w:r>
    </w:p>
    <w:p w14:paraId="57841CB5" w14:textId="28286001" w:rsidR="008721BE" w:rsidRPr="008721BE" w:rsidRDefault="008721BE" w:rsidP="008721BE">
      <w:pPr>
        <w:pStyle w:val="2"/>
        <w:numPr>
          <w:ilvl w:val="0"/>
          <w:numId w:val="0"/>
        </w:numPr>
        <w:spacing w:line="240" w:lineRule="auto"/>
        <w:ind w:left="576" w:hanging="576"/>
        <w:rPr>
          <w:sz w:val="24"/>
          <w:szCs w:val="24"/>
          <w:u w:val="single"/>
        </w:rPr>
      </w:pPr>
      <w:r w:rsidRPr="008721BE">
        <w:rPr>
          <w:sz w:val="24"/>
          <w:szCs w:val="24"/>
          <w:u w:val="single"/>
        </w:rPr>
        <w:t>TA validity</w:t>
      </w:r>
    </w:p>
    <w:p w14:paraId="038B9202" w14:textId="4345C584" w:rsidR="00EE66FD" w:rsidRDefault="00EB3B82" w:rsidP="00071981">
      <w:pPr>
        <w:spacing w:beforeLines="50" w:before="156" w:afterLines="50" w:after="156"/>
      </w:pPr>
      <w:r>
        <w:rPr>
          <w:rFonts w:hint="eastAsia"/>
        </w:rPr>
        <w:t>A</w:t>
      </w:r>
      <w:r>
        <w:t xml:space="preserve">s in [3], </w:t>
      </w:r>
      <w:r w:rsidR="00F40349">
        <w:t xml:space="preserve">the TA validity considering the RSRP </w:t>
      </w:r>
      <w:r w:rsidR="00EE66FD">
        <w:t xml:space="preserve">changing has been discussed. </w:t>
      </w:r>
      <w:r w:rsidR="00BC25DF">
        <w:t>The</w:t>
      </w:r>
      <w:r w:rsidR="00EE66FD">
        <w:t xml:space="preserve"> CG resource may be beam specific in CG based SDT procedure, </w:t>
      </w:r>
      <w:r w:rsidR="00BC25DF">
        <w:t xml:space="preserve">but the TA changing </w:t>
      </w:r>
      <w:r w:rsidR="00C456D5">
        <w:t>may be</w:t>
      </w:r>
      <w:r w:rsidR="00BC25DF">
        <w:t xml:space="preserve"> UE specific in SDT scenario</w:t>
      </w:r>
      <w:r w:rsidR="00C456D5">
        <w:t>.</w:t>
      </w:r>
      <w:r w:rsidR="00BC25DF">
        <w:t xml:space="preserve"> </w:t>
      </w:r>
      <w:r w:rsidR="00C456D5">
        <w:t>T</w:t>
      </w:r>
      <w:r w:rsidR="00EE66FD">
        <w:t>he SS-based RSRP</w:t>
      </w:r>
      <w:r w:rsidR="00BC25DF">
        <w:t xml:space="preserve"> may be applied to evaluate the change of </w:t>
      </w:r>
      <w:r w:rsidR="00C456D5">
        <w:t>TA, the details on SS-based RSRP changing to TA validity could be further studied.</w:t>
      </w:r>
    </w:p>
    <w:p w14:paraId="26C1F9A8" w14:textId="5A30A6AB" w:rsidR="003B1526" w:rsidRDefault="003B1526" w:rsidP="003B1526">
      <w:pPr>
        <w:spacing w:beforeLines="50" w:before="156" w:afterLines="50" w:after="156"/>
        <w:rPr>
          <w:b/>
          <w:bCs/>
        </w:rPr>
      </w:pPr>
      <w:r>
        <w:rPr>
          <w:b/>
          <w:bCs/>
        </w:rPr>
        <w:t>Proposal</w:t>
      </w:r>
      <w:r w:rsidR="007E10A3">
        <w:rPr>
          <w:b/>
          <w:bCs/>
        </w:rPr>
        <w:t>3</w:t>
      </w:r>
      <w:r>
        <w:rPr>
          <w:b/>
          <w:bCs/>
        </w:rPr>
        <w:t xml:space="preserve">: A TA timer or </w:t>
      </w:r>
      <w:r w:rsidRPr="009754EB">
        <w:rPr>
          <w:rFonts w:hint="eastAsia"/>
          <w:b/>
          <w:bCs/>
        </w:rPr>
        <w:t>chan</w:t>
      </w:r>
      <w:r w:rsidRPr="009754EB">
        <w:rPr>
          <w:b/>
          <w:bCs/>
        </w:rPr>
        <w:t xml:space="preserve">ging of </w:t>
      </w:r>
      <w:r w:rsidR="008C15A3" w:rsidRPr="008C15A3">
        <w:rPr>
          <w:b/>
          <w:bCs/>
        </w:rPr>
        <w:t xml:space="preserve">SS-based </w:t>
      </w:r>
      <w:r w:rsidRPr="009754EB">
        <w:rPr>
          <w:b/>
          <w:bCs/>
        </w:rPr>
        <w:t xml:space="preserve">RSRP could be considered to evaluate the </w:t>
      </w:r>
      <w:r>
        <w:rPr>
          <w:b/>
          <w:bCs/>
        </w:rPr>
        <w:t>TA validity for CG based SDT.</w:t>
      </w:r>
    </w:p>
    <w:p w14:paraId="4A17BEE0" w14:textId="24BAD436" w:rsidR="008721BE" w:rsidRPr="007E10A3" w:rsidRDefault="00D10747" w:rsidP="007E10A3">
      <w:pPr>
        <w:pStyle w:val="2"/>
        <w:numPr>
          <w:ilvl w:val="0"/>
          <w:numId w:val="0"/>
        </w:numPr>
        <w:spacing w:line="240" w:lineRule="auto"/>
        <w:ind w:left="576" w:hanging="576"/>
        <w:rPr>
          <w:b w:val="0"/>
          <w:bCs w:val="0"/>
          <w:sz w:val="24"/>
          <w:szCs w:val="24"/>
          <w:u w:val="single"/>
        </w:rPr>
      </w:pPr>
      <w:r w:rsidRPr="007E10A3">
        <w:rPr>
          <w:sz w:val="24"/>
          <w:szCs w:val="24"/>
          <w:u w:val="single"/>
        </w:rPr>
        <w:t>UAC</w:t>
      </w:r>
    </w:p>
    <w:p w14:paraId="7096EA4E" w14:textId="77777777" w:rsidR="00D10747" w:rsidRPr="007E10A3" w:rsidRDefault="00D10747" w:rsidP="00D10747">
      <w:pPr>
        <w:spacing w:beforeLines="50" w:before="156" w:afterLines="50" w:after="156"/>
      </w:pPr>
      <w:r w:rsidRPr="007E10A3">
        <w:t>It has been agreed that the existing UAC procedure to determine whether access attempt is allowed, will be reused for SDT. The existing UAC can be reused for the majority cases of SDT. However, there is some difference for the CG based solution. The pre-configured CG resources can be considered as dedicated resources. And it has been agreed that small data transmission is configured by the network on a per DRB basis. It means there are allocated resources for SDT if the arrival data corresponds to the configured DRB which is allowed to perform SDT. If the legacy UAC is performed and the UE is barred for the SDT, the dedicated resources are wasted. Obviously, it is not the expected case. Then, we can consider the access attempt as allowed for this case to simplify the implementation.</w:t>
      </w:r>
    </w:p>
    <w:p w14:paraId="68A7A13A" w14:textId="77777777" w:rsidR="00D10747" w:rsidRPr="007E10A3" w:rsidRDefault="00D10747" w:rsidP="00D10747">
      <w:pPr>
        <w:spacing w:beforeLines="50" w:before="156" w:afterLines="50" w:after="156"/>
      </w:pPr>
      <w:r w:rsidRPr="007E10A3">
        <w:t>Even if the packet is segmented and the subsequent data may be transmitted by the network scheduling, the first UL can still be considered as allowed and the subsequent transmission can be barred since the network will not schedule any grant for the UE.</w:t>
      </w:r>
    </w:p>
    <w:p w14:paraId="01E127AF" w14:textId="45AAD9F7" w:rsidR="00D10747" w:rsidRPr="007E10A3" w:rsidRDefault="00D10747" w:rsidP="00D10747">
      <w:pPr>
        <w:spacing w:beforeLines="50" w:before="156" w:afterLines="50" w:after="156"/>
        <w:rPr>
          <w:b/>
          <w:bCs/>
        </w:rPr>
      </w:pPr>
      <w:r w:rsidRPr="007E10A3">
        <w:rPr>
          <w:b/>
          <w:bCs/>
        </w:rPr>
        <w:t xml:space="preserve">Proposal </w:t>
      </w:r>
      <w:r w:rsidR="007E10A3">
        <w:rPr>
          <w:b/>
          <w:bCs/>
        </w:rPr>
        <w:t>4</w:t>
      </w:r>
      <w:r w:rsidRPr="007E10A3">
        <w:rPr>
          <w:b/>
          <w:bCs/>
        </w:rPr>
        <w:t xml:space="preserve">: The access attempt is considered as allowed if the pre-configured CG resources are configured for SDT and the arrival data corresponds to the configured DRB which </w:t>
      </w:r>
      <w:proofErr w:type="gramStart"/>
      <w:r w:rsidRPr="007E10A3">
        <w:rPr>
          <w:b/>
          <w:bCs/>
        </w:rPr>
        <w:t>is allowed to</w:t>
      </w:r>
      <w:proofErr w:type="gramEnd"/>
      <w:r w:rsidRPr="007E10A3">
        <w:rPr>
          <w:b/>
          <w:bCs/>
        </w:rPr>
        <w:t xml:space="preserve"> perform SDT.</w:t>
      </w:r>
    </w:p>
    <w:p w14:paraId="166A73C9" w14:textId="6E406121" w:rsidR="00B5238D" w:rsidRDefault="00B5238D" w:rsidP="00445C9F">
      <w:pPr>
        <w:spacing w:beforeLines="50" w:before="156" w:afterLines="50" w:after="156"/>
      </w:pPr>
    </w:p>
    <w:p w14:paraId="0CE8AB2F"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54FBD049" w14:textId="7FC53AB4" w:rsidR="00B5238D" w:rsidRDefault="00445C9F" w:rsidP="00673647">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 xml:space="preserve">on the </w:t>
      </w:r>
      <w:r w:rsidR="0022008A">
        <w:rPr>
          <w:rFonts w:ascii="Times New Roman" w:hAnsi="Times New Roman"/>
          <w:sz w:val="20"/>
          <w:szCs w:val="20"/>
          <w:lang w:val="en-GB"/>
        </w:rPr>
        <w:t>CG configuration, the TA validity, and UAC</w:t>
      </w:r>
      <w:r w:rsidR="0022008A">
        <w:rPr>
          <w:rFonts w:ascii="Times New Roman" w:hAnsi="Times New Roman"/>
          <w:sz w:val="20"/>
          <w:szCs w:val="20"/>
          <w:lang w:val="en-GB"/>
        </w:rPr>
        <w:t xml:space="preserve"> </w:t>
      </w:r>
      <w:r w:rsidR="00B5238D">
        <w:rPr>
          <w:rFonts w:ascii="Times New Roman" w:hAnsi="Times New Roman"/>
          <w:sz w:val="20"/>
          <w:szCs w:val="20"/>
          <w:lang w:val="en-GB"/>
        </w:rPr>
        <w:t>are discussed, we have the following proposals:</w:t>
      </w:r>
    </w:p>
    <w:p w14:paraId="71FE3DAA" w14:textId="77777777" w:rsidR="0022008A" w:rsidRDefault="0022008A" w:rsidP="0022008A">
      <w:pPr>
        <w:spacing w:beforeLines="50" w:before="156" w:afterLines="50" w:after="156"/>
        <w:rPr>
          <w:b/>
          <w:bCs/>
        </w:rPr>
      </w:pPr>
      <w:r w:rsidRPr="005E0D59">
        <w:rPr>
          <w:b/>
          <w:bCs/>
        </w:rPr>
        <w:lastRenderedPageBreak/>
        <w:t>Proposal</w:t>
      </w:r>
      <w:r>
        <w:rPr>
          <w:b/>
          <w:bCs/>
        </w:rPr>
        <w:t>1</w:t>
      </w:r>
      <w:r w:rsidRPr="005E0D59">
        <w:rPr>
          <w:b/>
          <w:bCs/>
        </w:rPr>
        <w:t xml:space="preserve">: </w:t>
      </w:r>
      <w:r w:rsidRPr="006E2B33">
        <w:rPr>
          <w:b/>
          <w:bCs/>
        </w:rPr>
        <w:t xml:space="preserve">More than one CG </w:t>
      </w:r>
      <w:r>
        <w:rPr>
          <w:b/>
          <w:bCs/>
        </w:rPr>
        <w:t>resource</w:t>
      </w:r>
      <w:r w:rsidRPr="006E2B33">
        <w:rPr>
          <w:b/>
          <w:bCs/>
        </w:rPr>
        <w:t xml:space="preserve"> could be </w:t>
      </w:r>
      <w:r>
        <w:rPr>
          <w:b/>
          <w:bCs/>
        </w:rPr>
        <w:t>configured to UE</w:t>
      </w:r>
      <w:r w:rsidRPr="006E2B33">
        <w:rPr>
          <w:b/>
          <w:bCs/>
        </w:rPr>
        <w:t xml:space="preserve"> considering multipl</w:t>
      </w:r>
      <w:r>
        <w:rPr>
          <w:b/>
          <w:bCs/>
        </w:rPr>
        <w:t>e</w:t>
      </w:r>
      <w:r w:rsidRPr="006E2B33">
        <w:rPr>
          <w:b/>
          <w:bCs/>
        </w:rPr>
        <w:t xml:space="preserve"> </w:t>
      </w:r>
      <w:r>
        <w:rPr>
          <w:b/>
          <w:bCs/>
        </w:rPr>
        <w:t>traffics are applied in</w:t>
      </w:r>
      <w:r w:rsidRPr="006E2B33">
        <w:rPr>
          <w:b/>
          <w:bCs/>
        </w:rPr>
        <w:t xml:space="preserve"> UE</w:t>
      </w:r>
      <w:r>
        <w:rPr>
          <w:b/>
          <w:bCs/>
        </w:rPr>
        <w:t xml:space="preserve"> and beam specific CG resource configuration.</w:t>
      </w:r>
    </w:p>
    <w:p w14:paraId="7CEA62C2" w14:textId="77777777" w:rsidR="0022008A" w:rsidRDefault="0022008A" w:rsidP="0022008A">
      <w:pPr>
        <w:spacing w:beforeLines="50" w:before="156" w:afterLines="50" w:after="156"/>
        <w:rPr>
          <w:b/>
          <w:bCs/>
        </w:rPr>
      </w:pPr>
      <w:r w:rsidRPr="006E2B33">
        <w:rPr>
          <w:b/>
          <w:bCs/>
        </w:rPr>
        <w:t>Proposal</w:t>
      </w:r>
      <w:r>
        <w:rPr>
          <w:b/>
          <w:bCs/>
        </w:rPr>
        <w:t>2</w:t>
      </w:r>
      <w:r w:rsidRPr="006E2B33">
        <w:rPr>
          <w:b/>
          <w:bCs/>
        </w:rPr>
        <w:t xml:space="preserve">: The CG </w:t>
      </w:r>
      <w:r>
        <w:rPr>
          <w:b/>
          <w:bCs/>
        </w:rPr>
        <w:t>configuration</w:t>
      </w:r>
      <w:r w:rsidRPr="006E2B33">
        <w:rPr>
          <w:b/>
          <w:bCs/>
        </w:rPr>
        <w:t xml:space="preserve"> </w:t>
      </w:r>
      <w:r>
        <w:rPr>
          <w:b/>
          <w:bCs/>
        </w:rPr>
        <w:t>needs to</w:t>
      </w:r>
      <w:r w:rsidRPr="006E2B33">
        <w:rPr>
          <w:b/>
          <w:bCs/>
        </w:rPr>
        <w:t xml:space="preserve"> includ</w:t>
      </w:r>
      <w:r>
        <w:rPr>
          <w:b/>
          <w:bCs/>
        </w:rPr>
        <w:t>e</w:t>
      </w:r>
      <w:r w:rsidRPr="006E2B33">
        <w:rPr>
          <w:b/>
          <w:bCs/>
        </w:rPr>
        <w:t xml:space="preserve"> </w:t>
      </w:r>
      <w:r>
        <w:rPr>
          <w:b/>
          <w:bCs/>
        </w:rPr>
        <w:t xml:space="preserve">the information of </w:t>
      </w:r>
      <w:r w:rsidRPr="006E2B33">
        <w:rPr>
          <w:b/>
          <w:bCs/>
        </w:rPr>
        <w:t>X-RNTI</w:t>
      </w:r>
      <w:r>
        <w:rPr>
          <w:b/>
          <w:bCs/>
        </w:rPr>
        <w:t xml:space="preserve">, </w:t>
      </w:r>
      <w:r w:rsidRPr="00EE66F3">
        <w:rPr>
          <w:b/>
          <w:bCs/>
        </w:rPr>
        <w:t xml:space="preserve">the </w:t>
      </w:r>
      <w:r w:rsidRPr="00EE66F3">
        <w:rPr>
          <w:rFonts w:hint="eastAsia"/>
          <w:b/>
          <w:bCs/>
        </w:rPr>
        <w:t>se</w:t>
      </w:r>
      <w:r w:rsidRPr="00EE66F3">
        <w:rPr>
          <w:b/>
          <w:bCs/>
        </w:rPr>
        <w:t xml:space="preserve">arch space and control resource set (CORESET) </w:t>
      </w:r>
      <w:r>
        <w:rPr>
          <w:b/>
          <w:bCs/>
        </w:rPr>
        <w:t>for PDCCH monitoring for response message.</w:t>
      </w:r>
    </w:p>
    <w:p w14:paraId="667F5658" w14:textId="77777777" w:rsidR="0022008A" w:rsidRDefault="0022008A" w:rsidP="0022008A">
      <w:pPr>
        <w:spacing w:beforeLines="50" w:before="156" w:afterLines="50" w:after="156"/>
        <w:rPr>
          <w:b/>
          <w:bCs/>
        </w:rPr>
      </w:pPr>
      <w:r>
        <w:rPr>
          <w:b/>
          <w:bCs/>
        </w:rPr>
        <w:t xml:space="preserve">Proposal3: A TA timer or </w:t>
      </w:r>
      <w:r w:rsidRPr="009754EB">
        <w:rPr>
          <w:rFonts w:hint="eastAsia"/>
          <w:b/>
          <w:bCs/>
        </w:rPr>
        <w:t>chan</w:t>
      </w:r>
      <w:r w:rsidRPr="009754EB">
        <w:rPr>
          <w:b/>
          <w:bCs/>
        </w:rPr>
        <w:t xml:space="preserve">ging of </w:t>
      </w:r>
      <w:r w:rsidRPr="008C15A3">
        <w:rPr>
          <w:b/>
          <w:bCs/>
        </w:rPr>
        <w:t xml:space="preserve">SS-based </w:t>
      </w:r>
      <w:r w:rsidRPr="009754EB">
        <w:rPr>
          <w:b/>
          <w:bCs/>
        </w:rPr>
        <w:t xml:space="preserve">RSRP could be considered to evaluate the </w:t>
      </w:r>
      <w:r>
        <w:rPr>
          <w:b/>
          <w:bCs/>
        </w:rPr>
        <w:t>TA validity for CG based SDT.</w:t>
      </w:r>
    </w:p>
    <w:p w14:paraId="0887A571" w14:textId="77777777" w:rsidR="0022008A" w:rsidRPr="0022008A" w:rsidRDefault="0022008A" w:rsidP="0022008A">
      <w:pPr>
        <w:spacing w:beforeLines="50" w:before="156" w:afterLines="50" w:after="156"/>
        <w:rPr>
          <w:b/>
          <w:bCs/>
        </w:rPr>
      </w:pPr>
      <w:r w:rsidRPr="0022008A">
        <w:rPr>
          <w:b/>
          <w:bCs/>
        </w:rPr>
        <w:t xml:space="preserve">Proposal 4: The access attempt is considered as allowed if the pre-configured CG resources are configured for SDT and the arrival data corresponds to the configured DRB which </w:t>
      </w:r>
      <w:proofErr w:type="gramStart"/>
      <w:r w:rsidRPr="0022008A">
        <w:rPr>
          <w:b/>
          <w:bCs/>
        </w:rPr>
        <w:t>is allowed to</w:t>
      </w:r>
      <w:proofErr w:type="gramEnd"/>
      <w:r w:rsidRPr="0022008A">
        <w:rPr>
          <w:b/>
          <w:bCs/>
        </w:rPr>
        <w:t xml:space="preserve"> perform SDT.</w:t>
      </w:r>
    </w:p>
    <w:p w14:paraId="01A42D75"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2E541D82" w14:textId="4927133F" w:rsidR="00200148" w:rsidRDefault="00200148" w:rsidP="00200148">
      <w:pPr>
        <w:pStyle w:val="Reference"/>
      </w:pPr>
      <w:bookmarkStart w:id="5" w:name="_Ref28939630"/>
      <w:bookmarkStart w:id="6" w:name="_Hlk54163140"/>
      <w:bookmarkEnd w:id="4"/>
      <w:r w:rsidRPr="009F3110">
        <w:t>R2-2100001</w:t>
      </w:r>
      <w:r w:rsidRPr="009B7658">
        <w:rPr>
          <w:rFonts w:hint="eastAsia"/>
        </w:rPr>
        <w:t xml:space="preserve">, </w:t>
      </w:r>
      <w:r w:rsidRPr="009B7658">
        <w:t>“</w:t>
      </w:r>
      <w:r w:rsidRPr="009F3110">
        <w:t>Report of 3GPP TSG RAN2#112-e meeting, Online,</w:t>
      </w:r>
      <w:r w:rsidRPr="009B7658">
        <w:t>”</w:t>
      </w:r>
      <w:r w:rsidRPr="009B7658">
        <w:rPr>
          <w:rFonts w:hint="eastAsia"/>
        </w:rPr>
        <w:t>,</w:t>
      </w:r>
      <w:r w:rsidRPr="009B7658">
        <w:t xml:space="preserve"> MediaTek Inc, </w:t>
      </w:r>
      <w:r w:rsidRPr="008562A2">
        <w:t xml:space="preserve">2 </w:t>
      </w:r>
      <w:r>
        <w:t>–</w:t>
      </w:r>
      <w:r w:rsidRPr="008562A2">
        <w:t xml:space="preserve"> 13November, 2020</w:t>
      </w:r>
      <w:r>
        <w:t>.</w:t>
      </w:r>
    </w:p>
    <w:p w14:paraId="7B1A25F5" w14:textId="666D48F0" w:rsidR="003927E6" w:rsidRDefault="003927E6" w:rsidP="003927E6">
      <w:pPr>
        <w:pStyle w:val="Reference"/>
      </w:pPr>
      <w:r w:rsidRPr="00A85C7F">
        <w:rPr>
          <w:rFonts w:eastAsia="等线"/>
        </w:rPr>
        <w:t>RP-</w:t>
      </w:r>
      <w:r>
        <w:rPr>
          <w:rFonts w:eastAsia="等线"/>
        </w:rPr>
        <w:t>2013</w:t>
      </w:r>
      <w:r>
        <w:rPr>
          <w:rFonts w:eastAsia="等线" w:hint="eastAsia"/>
        </w:rPr>
        <w:t>05</w:t>
      </w:r>
      <w:r w:rsidRPr="000114BC">
        <w:rPr>
          <w:rFonts w:hint="eastAsia"/>
        </w:rPr>
        <w:t xml:space="preserve">, </w:t>
      </w:r>
      <w:r w:rsidRPr="000114BC">
        <w:t>“</w:t>
      </w:r>
      <w:r w:rsidRPr="0060760C">
        <w:t>Revised WID on NR small data transmissions in INACTIVE state</w:t>
      </w:r>
      <w:r w:rsidRPr="000114BC">
        <w:t>”</w:t>
      </w:r>
      <w:r w:rsidRPr="000114BC">
        <w:rPr>
          <w:rFonts w:hint="eastAsia"/>
        </w:rPr>
        <w:t xml:space="preserve">, </w:t>
      </w:r>
      <w:r w:rsidRPr="0060760C">
        <w:t>ZTE Corporation</w:t>
      </w:r>
      <w:r w:rsidRPr="000114BC">
        <w:rPr>
          <w:rFonts w:hint="eastAsia"/>
        </w:rPr>
        <w:t>, RAN#</w:t>
      </w:r>
      <w:r>
        <w:t xml:space="preserve">88e, </w:t>
      </w:r>
      <w:r w:rsidRPr="00144FE8">
        <w:t>June 29 - July 3, 2020</w:t>
      </w:r>
      <w:r>
        <w:t>.</w:t>
      </w:r>
    </w:p>
    <w:p w14:paraId="40A9FB2A" w14:textId="77777777" w:rsidR="003927E6" w:rsidRPr="00E51295" w:rsidRDefault="003927E6" w:rsidP="003927E6">
      <w:pPr>
        <w:pStyle w:val="Reference"/>
      </w:pPr>
      <w:r>
        <w:t>“</w:t>
      </w:r>
      <w:r w:rsidRPr="003927E6">
        <w:t>[Post112</w:t>
      </w:r>
      <w:r>
        <w:t xml:space="preserve">-e][550][SDT] Further details of CG aspects”, Lenovo, </w:t>
      </w:r>
      <w:r w:rsidRPr="00B97BA8">
        <w:t>RA</w:t>
      </w:r>
      <w:r w:rsidRPr="00B97BA8">
        <w:rPr>
          <w:rFonts w:hint="eastAsia"/>
        </w:rPr>
        <w:t>N2</w:t>
      </w:r>
      <w:r w:rsidRPr="00B97BA8">
        <w:t>#11</w:t>
      </w:r>
      <w:r>
        <w:t>3</w:t>
      </w:r>
      <w:r>
        <w:rPr>
          <w:rFonts w:hint="eastAsia"/>
        </w:rPr>
        <w:t>e</w:t>
      </w:r>
      <w:r w:rsidRPr="00B97BA8">
        <w:t xml:space="preserve">, </w:t>
      </w:r>
      <w:r w:rsidRPr="00CA2BF3">
        <w:t>Jan 25 – Feb 5, 2021.</w:t>
      </w:r>
    </w:p>
    <w:p w14:paraId="6927BADB" w14:textId="77777777" w:rsidR="003927E6" w:rsidRDefault="003927E6" w:rsidP="003927E6">
      <w:pPr>
        <w:pStyle w:val="z-"/>
      </w:pPr>
      <w:r>
        <w:rPr>
          <w:rFonts w:ascii="宋体" w:eastAsia="宋体" w:hAnsi="宋体" w:cs="宋体" w:hint="eastAsia"/>
        </w:rPr>
        <w:t>窗体顶端</w:t>
      </w:r>
      <w:bookmarkEnd w:id="5"/>
      <w:bookmarkEnd w:id="6"/>
    </w:p>
    <w:sectPr w:rsidR="003927E6" w:rsidSect="00772636">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7A1AC" w14:textId="77777777" w:rsidR="00BB1CE3" w:rsidRDefault="00BB1CE3">
      <w:r>
        <w:separator/>
      </w:r>
    </w:p>
  </w:endnote>
  <w:endnote w:type="continuationSeparator" w:id="0">
    <w:p w14:paraId="326259B7" w14:textId="77777777" w:rsidR="00BB1CE3" w:rsidRDefault="00BB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0A5D3" w14:textId="7B022240" w:rsidR="00772636" w:rsidRDefault="00772636" w:rsidP="007726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0747">
      <w:rPr>
        <w:rFonts w:ascii="Arial" w:hAnsi="Arial" w:cs="Arial"/>
        <w:b/>
        <w:noProof/>
        <w:sz w:val="18"/>
        <w:szCs w:val="18"/>
      </w:rPr>
      <w:t>3</w:t>
    </w:r>
    <w:r>
      <w:rPr>
        <w:rFonts w:ascii="Arial" w:hAnsi="Arial" w:cs="Arial"/>
        <w:b/>
        <w:sz w:val="18"/>
        <w:szCs w:val="18"/>
      </w:rPr>
      <w:fldChar w:fldCharType="end"/>
    </w:r>
  </w:p>
  <w:p w14:paraId="38465410" w14:textId="77777777" w:rsidR="00772636" w:rsidRDefault="007726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769C3" w14:textId="77777777" w:rsidR="00BB1CE3" w:rsidRDefault="00BB1CE3">
      <w:r>
        <w:separator/>
      </w:r>
    </w:p>
  </w:footnote>
  <w:footnote w:type="continuationSeparator" w:id="0">
    <w:p w14:paraId="57987746" w14:textId="77777777" w:rsidR="00BB1CE3" w:rsidRDefault="00BB1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3236B14"/>
    <w:multiLevelType w:val="hybridMultilevel"/>
    <w:tmpl w:val="D3C499E4"/>
    <w:lvl w:ilvl="0" w:tplc="C31A51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7"/>
  </w:num>
  <w:num w:numId="3">
    <w:abstractNumId w:val="10"/>
  </w:num>
  <w:num w:numId="4">
    <w:abstractNumId w:val="8"/>
  </w:num>
  <w:num w:numId="5">
    <w:abstractNumId w:val="9"/>
  </w:num>
  <w:num w:numId="6">
    <w:abstractNumId w:val="5"/>
  </w:num>
  <w:num w:numId="7">
    <w:abstractNumId w:val="7"/>
  </w:num>
  <w:num w:numId="8">
    <w:abstractNumId w:val="3"/>
  </w:num>
  <w:num w:numId="9">
    <w:abstractNumId w:val="0"/>
  </w:num>
  <w:num w:numId="10">
    <w:abstractNumId w:val="11"/>
  </w:num>
  <w:num w:numId="11">
    <w:abstractNumId w:val="6"/>
  </w:num>
  <w:num w:numId="12">
    <w:abstractNumId w:val="9"/>
  </w:num>
  <w:num w:numId="13">
    <w:abstractNumId w:val="2"/>
  </w:num>
  <w:num w:numId="14">
    <w:abstractNumId w:val="10"/>
  </w:num>
  <w:num w:numId="15">
    <w:abstractNumId w:val="10"/>
  </w:num>
  <w:num w:numId="16">
    <w:abstractNumId w:val="10"/>
  </w:num>
  <w:num w:numId="17">
    <w:abstractNumId w:val="4"/>
  </w:num>
  <w:num w:numId="18">
    <w:abstractNumId w:val="12"/>
  </w:num>
  <w:num w:numId="19">
    <w:abstractNumId w:val="7"/>
  </w:num>
  <w:num w:numId="20">
    <w:abstractNumId w:val="1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129BC"/>
    <w:rsid w:val="000472DE"/>
    <w:rsid w:val="00071704"/>
    <w:rsid w:val="00071981"/>
    <w:rsid w:val="00072C0D"/>
    <w:rsid w:val="000B05FD"/>
    <w:rsid w:val="000B4085"/>
    <w:rsid w:val="000C33C1"/>
    <w:rsid w:val="000F51E6"/>
    <w:rsid w:val="00103335"/>
    <w:rsid w:val="00144FE8"/>
    <w:rsid w:val="00197963"/>
    <w:rsid w:val="001B762E"/>
    <w:rsid w:val="001C4EFC"/>
    <w:rsid w:val="001D7449"/>
    <w:rsid w:val="001E2959"/>
    <w:rsid w:val="001F78AB"/>
    <w:rsid w:val="00200148"/>
    <w:rsid w:val="002122D5"/>
    <w:rsid w:val="0022008A"/>
    <w:rsid w:val="002668F0"/>
    <w:rsid w:val="003927E6"/>
    <w:rsid w:val="003B076A"/>
    <w:rsid w:val="003B1526"/>
    <w:rsid w:val="003E1E8B"/>
    <w:rsid w:val="0040489B"/>
    <w:rsid w:val="00430541"/>
    <w:rsid w:val="00445C9F"/>
    <w:rsid w:val="004634C7"/>
    <w:rsid w:val="0047711E"/>
    <w:rsid w:val="004A1EA8"/>
    <w:rsid w:val="004D405A"/>
    <w:rsid w:val="004F360B"/>
    <w:rsid w:val="004F7650"/>
    <w:rsid w:val="00513580"/>
    <w:rsid w:val="00527F08"/>
    <w:rsid w:val="00546D15"/>
    <w:rsid w:val="00547B91"/>
    <w:rsid w:val="00554E48"/>
    <w:rsid w:val="005B3B58"/>
    <w:rsid w:val="005E0D59"/>
    <w:rsid w:val="005E6B84"/>
    <w:rsid w:val="005E6BC2"/>
    <w:rsid w:val="006012F6"/>
    <w:rsid w:val="00605CB5"/>
    <w:rsid w:val="00645F9F"/>
    <w:rsid w:val="006460CC"/>
    <w:rsid w:val="00650DB8"/>
    <w:rsid w:val="00673647"/>
    <w:rsid w:val="006B1D49"/>
    <w:rsid w:val="006C10B9"/>
    <w:rsid w:val="006E2B33"/>
    <w:rsid w:val="006F5DBE"/>
    <w:rsid w:val="00701590"/>
    <w:rsid w:val="00772636"/>
    <w:rsid w:val="007A5C2A"/>
    <w:rsid w:val="007E10A3"/>
    <w:rsid w:val="007E10B5"/>
    <w:rsid w:val="007E26A2"/>
    <w:rsid w:val="007F48DF"/>
    <w:rsid w:val="007F4CAB"/>
    <w:rsid w:val="00800569"/>
    <w:rsid w:val="00804AC0"/>
    <w:rsid w:val="0085547C"/>
    <w:rsid w:val="0087015B"/>
    <w:rsid w:val="008721BE"/>
    <w:rsid w:val="008C15A3"/>
    <w:rsid w:val="008E59EB"/>
    <w:rsid w:val="00915FE6"/>
    <w:rsid w:val="00935C38"/>
    <w:rsid w:val="00936411"/>
    <w:rsid w:val="00941FE3"/>
    <w:rsid w:val="009754EB"/>
    <w:rsid w:val="009A7106"/>
    <w:rsid w:val="009E3C78"/>
    <w:rsid w:val="009E72E5"/>
    <w:rsid w:val="009F4C9F"/>
    <w:rsid w:val="00A25C6A"/>
    <w:rsid w:val="00A42318"/>
    <w:rsid w:val="00A425E8"/>
    <w:rsid w:val="00A71365"/>
    <w:rsid w:val="00AA7565"/>
    <w:rsid w:val="00AF4E7B"/>
    <w:rsid w:val="00AF6D53"/>
    <w:rsid w:val="00B3268D"/>
    <w:rsid w:val="00B44D03"/>
    <w:rsid w:val="00B5238D"/>
    <w:rsid w:val="00B97BA8"/>
    <w:rsid w:val="00BB1CE3"/>
    <w:rsid w:val="00BC25DF"/>
    <w:rsid w:val="00BC7267"/>
    <w:rsid w:val="00BF69F6"/>
    <w:rsid w:val="00C104A6"/>
    <w:rsid w:val="00C1647B"/>
    <w:rsid w:val="00C179AE"/>
    <w:rsid w:val="00C3199D"/>
    <w:rsid w:val="00C456D5"/>
    <w:rsid w:val="00C63317"/>
    <w:rsid w:val="00CB16F6"/>
    <w:rsid w:val="00CB56C8"/>
    <w:rsid w:val="00CE3123"/>
    <w:rsid w:val="00CF27B4"/>
    <w:rsid w:val="00D0615E"/>
    <w:rsid w:val="00D07C96"/>
    <w:rsid w:val="00D10747"/>
    <w:rsid w:val="00D63121"/>
    <w:rsid w:val="00D645C9"/>
    <w:rsid w:val="00D80FA0"/>
    <w:rsid w:val="00D83DB9"/>
    <w:rsid w:val="00D901C5"/>
    <w:rsid w:val="00D935C7"/>
    <w:rsid w:val="00DA6D43"/>
    <w:rsid w:val="00DA796F"/>
    <w:rsid w:val="00DC1BAC"/>
    <w:rsid w:val="00DC6189"/>
    <w:rsid w:val="00DD77A4"/>
    <w:rsid w:val="00DE5771"/>
    <w:rsid w:val="00DF2A2D"/>
    <w:rsid w:val="00E15F82"/>
    <w:rsid w:val="00E33DA1"/>
    <w:rsid w:val="00E83811"/>
    <w:rsid w:val="00EA46EF"/>
    <w:rsid w:val="00EB3B82"/>
    <w:rsid w:val="00ED6877"/>
    <w:rsid w:val="00EE14BC"/>
    <w:rsid w:val="00EE66F3"/>
    <w:rsid w:val="00EE66FD"/>
    <w:rsid w:val="00EF2B72"/>
    <w:rsid w:val="00F15614"/>
    <w:rsid w:val="00F40349"/>
    <w:rsid w:val="00FB1061"/>
    <w:rsid w:val="00FC1D8C"/>
    <w:rsid w:val="00FE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464F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9754EB"/>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754EB"/>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9754EB"/>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9754EB"/>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9754EB"/>
    <w:pPr>
      <w:keepNext/>
      <w:keepLines/>
      <w:numPr>
        <w:ilvl w:val="7"/>
        <w:numId w:val="3"/>
      </w:numPr>
      <w:spacing w:before="40"/>
      <w:outlineLvl w:val="7"/>
    </w:pPr>
    <w:rPr>
      <w:rFonts w:asciiTheme="majorHAnsi" w:eastAsiaTheme="majorEastAsia" w:hAnsiTheme="majorHAnsi" w:cstheme="majorBidi"/>
      <w:color w:val="272727" w:themeColor="text1" w:themeTint="D8"/>
      <w:szCs w:val="21"/>
    </w:rPr>
  </w:style>
  <w:style w:type="paragraph" w:styleId="9">
    <w:name w:val="heading 9"/>
    <w:basedOn w:val="a"/>
    <w:next w:val="a"/>
    <w:link w:val="90"/>
    <w:uiPriority w:val="9"/>
    <w:semiHidden/>
    <w:unhideWhenUsed/>
    <w:qFormat/>
    <w:rsid w:val="009754EB"/>
    <w:pPr>
      <w:keepNext/>
      <w:keepLines/>
      <w:numPr>
        <w:ilvl w:val="8"/>
        <w:numId w:val="3"/>
      </w:numPr>
      <w:spacing w:before="40"/>
      <w:outlineLvl w:val="8"/>
    </w:pPr>
    <w:rPr>
      <w:rFonts w:asciiTheme="majorHAnsi" w:eastAsiaTheme="majorEastAsia" w:hAnsiTheme="majorHAnsi" w:cstheme="majorBidi"/>
      <w:i/>
      <w:iCs/>
      <w:color w:val="272727" w:themeColor="text1" w:themeTint="D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a"/>
    <w:next w:val="a"/>
    <w:rsid w:val="003E1E8B"/>
    <w:pPr>
      <w:widowControl/>
      <w:numPr>
        <w:numId w:val="6"/>
      </w:numPr>
      <w:spacing w:after="60"/>
      <w:ind w:right="-96"/>
      <w:jc w:val="left"/>
    </w:pPr>
    <w:rPr>
      <w:rFonts w:ascii="Times New Roman" w:hAnsi="Times New Roman"/>
      <w:kern w:val="0"/>
      <w:sz w:val="20"/>
      <w:szCs w:val="16"/>
      <w:lang w:eastAsia="en-US"/>
    </w:rPr>
  </w:style>
  <w:style w:type="character" w:styleId="ac">
    <w:name w:val="Hyperlink"/>
    <w:uiPriority w:val="99"/>
    <w:qFormat/>
    <w:rsid w:val="00B97BA8"/>
    <w:rPr>
      <w:color w:val="0000FF"/>
      <w:u w:val="single"/>
    </w:rPr>
  </w:style>
  <w:style w:type="table" w:styleId="ad">
    <w:name w:val="Table Grid"/>
    <w:basedOn w:val="a1"/>
    <w:rsid w:val="00B97B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B97BA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B97BA8"/>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9E72E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9E72E5"/>
    <w:rPr>
      <w:rFonts w:ascii="Arial" w:eastAsia="MS Mincho" w:hAnsi="Arial" w:cs="Times New Roman"/>
      <w:i/>
      <w:noProof/>
      <w:kern w:val="0"/>
      <w:sz w:val="18"/>
      <w:szCs w:val="24"/>
      <w:lang w:val="en-GB" w:eastAsia="en-GB"/>
    </w:rPr>
  </w:style>
  <w:style w:type="character" w:customStyle="1" w:styleId="40">
    <w:name w:val="标题 4 字符"/>
    <w:basedOn w:val="a0"/>
    <w:link w:val="4"/>
    <w:uiPriority w:val="9"/>
    <w:semiHidden/>
    <w:rsid w:val="009754EB"/>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9754EB"/>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9754EB"/>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9754EB"/>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9754EB"/>
    <w:rPr>
      <w:rFonts w:asciiTheme="majorHAnsi" w:eastAsiaTheme="majorEastAsia" w:hAnsiTheme="majorHAnsi" w:cstheme="majorBidi"/>
      <w:color w:val="272727" w:themeColor="text1" w:themeTint="D8"/>
      <w:szCs w:val="21"/>
    </w:rPr>
  </w:style>
  <w:style w:type="character" w:customStyle="1" w:styleId="90">
    <w:name w:val="标题 9 字符"/>
    <w:basedOn w:val="a0"/>
    <w:link w:val="9"/>
    <w:uiPriority w:val="9"/>
    <w:semiHidden/>
    <w:rsid w:val="009754EB"/>
    <w:rPr>
      <w:rFonts w:asciiTheme="majorHAnsi" w:eastAsiaTheme="majorEastAsia" w:hAnsiTheme="majorHAnsi" w:cstheme="majorBidi"/>
      <w:i/>
      <w:iCs/>
      <w:color w:val="272727" w:themeColor="text1" w:themeTint="D8"/>
      <w:szCs w:val="21"/>
    </w:rPr>
  </w:style>
  <w:style w:type="character" w:styleId="ae">
    <w:name w:val="annotation reference"/>
    <w:basedOn w:val="a0"/>
    <w:uiPriority w:val="99"/>
    <w:semiHidden/>
    <w:unhideWhenUsed/>
    <w:rsid w:val="006B1D49"/>
    <w:rPr>
      <w:sz w:val="21"/>
      <w:szCs w:val="21"/>
    </w:rPr>
  </w:style>
  <w:style w:type="paragraph" w:styleId="af">
    <w:name w:val="annotation text"/>
    <w:basedOn w:val="a"/>
    <w:link w:val="af0"/>
    <w:uiPriority w:val="99"/>
    <w:semiHidden/>
    <w:unhideWhenUsed/>
    <w:rsid w:val="006B1D49"/>
    <w:pPr>
      <w:jc w:val="left"/>
    </w:pPr>
  </w:style>
  <w:style w:type="character" w:customStyle="1" w:styleId="af0">
    <w:name w:val="批注文字 字符"/>
    <w:basedOn w:val="a0"/>
    <w:link w:val="af"/>
    <w:uiPriority w:val="99"/>
    <w:semiHidden/>
    <w:rsid w:val="006B1D49"/>
    <w:rPr>
      <w:rFonts w:ascii="Calibri" w:eastAsia="宋体" w:hAnsi="Calibri" w:cs="Times New Roman"/>
    </w:rPr>
  </w:style>
  <w:style w:type="paragraph" w:styleId="af1">
    <w:name w:val="annotation subject"/>
    <w:basedOn w:val="af"/>
    <w:next w:val="af"/>
    <w:link w:val="af2"/>
    <w:uiPriority w:val="99"/>
    <w:semiHidden/>
    <w:unhideWhenUsed/>
    <w:rsid w:val="006B1D49"/>
    <w:rPr>
      <w:b/>
      <w:bCs/>
    </w:rPr>
  </w:style>
  <w:style w:type="character" w:customStyle="1" w:styleId="af2">
    <w:name w:val="批注主题 字符"/>
    <w:basedOn w:val="af0"/>
    <w:link w:val="af1"/>
    <w:uiPriority w:val="99"/>
    <w:semiHidden/>
    <w:rsid w:val="006B1D49"/>
    <w:rPr>
      <w:rFonts w:ascii="Calibri" w:eastAsia="宋体" w:hAnsi="Calibri" w:cs="Times New Roman"/>
      <w:b/>
      <w:bCs/>
    </w:rPr>
  </w:style>
  <w:style w:type="character" w:customStyle="1" w:styleId="14">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basedOn w:val="a0"/>
    <w:link w:val="af3"/>
    <w:uiPriority w:val="99"/>
    <w:locked/>
    <w:rsid w:val="004D405A"/>
    <w:rPr>
      <w:rFonts w:ascii="MS Mincho" w:eastAsia="MS Mincho" w:hAnsi="MS Mincho"/>
      <w:szCs w:val="24"/>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4"/>
    <w:uiPriority w:val="99"/>
    <w:unhideWhenUsed/>
    <w:rsid w:val="004D405A"/>
    <w:pPr>
      <w:widowControl/>
      <w:spacing w:after="120"/>
    </w:pPr>
    <w:rPr>
      <w:rFonts w:ascii="MS Mincho" w:eastAsia="MS Mincho" w:hAnsi="MS Mincho" w:cstheme="minorBidi"/>
      <w:szCs w:val="24"/>
      <w:lang w:eastAsia="en-US"/>
    </w:rPr>
  </w:style>
  <w:style w:type="character" w:customStyle="1" w:styleId="af4">
    <w:name w:val="正文文本 字符"/>
    <w:basedOn w:val="a0"/>
    <w:uiPriority w:val="99"/>
    <w:semiHidden/>
    <w:rsid w:val="004D405A"/>
    <w:rPr>
      <w:rFonts w:ascii="Calibri" w:eastAsia="宋体" w:hAnsi="Calibri" w:cs="Times New Roman"/>
    </w:rPr>
  </w:style>
  <w:style w:type="paragraph" w:styleId="z-">
    <w:name w:val="HTML Top of Form"/>
    <w:basedOn w:val="a"/>
    <w:next w:val="a"/>
    <w:link w:val="z-0"/>
    <w:hidden/>
    <w:uiPriority w:val="99"/>
    <w:semiHidden/>
    <w:unhideWhenUsed/>
    <w:rsid w:val="003927E6"/>
    <w:pPr>
      <w:widowControl/>
      <w:pBdr>
        <w:bottom w:val="single" w:sz="6" w:space="1" w:color="auto"/>
      </w:pBdr>
      <w:jc w:val="center"/>
    </w:pPr>
    <w:rPr>
      <w:rFonts w:ascii="Arial" w:eastAsia="Times New Roman" w:hAnsi="Arial" w:cs="Arial"/>
      <w:vanish/>
      <w:kern w:val="0"/>
      <w:sz w:val="16"/>
      <w:szCs w:val="16"/>
    </w:rPr>
  </w:style>
  <w:style w:type="character" w:customStyle="1" w:styleId="z-0">
    <w:name w:val="z-窗体顶端 字符"/>
    <w:basedOn w:val="a0"/>
    <w:link w:val="z-"/>
    <w:uiPriority w:val="99"/>
    <w:semiHidden/>
    <w:rsid w:val="003927E6"/>
    <w:rPr>
      <w:rFonts w:ascii="Arial" w:eastAsia="Times New Roman" w:hAnsi="Arial" w:cs="Arial"/>
      <w:vanish/>
      <w:kern w:val="0"/>
      <w:sz w:val="16"/>
      <w:szCs w:val="16"/>
    </w:rPr>
  </w:style>
  <w:style w:type="paragraph" w:styleId="21">
    <w:name w:val="index 2"/>
    <w:basedOn w:val="15"/>
    <w:semiHidden/>
    <w:rsid w:val="001F78AB"/>
    <w:pPr>
      <w:keepLines/>
      <w:widowControl/>
      <w:overflowPunct w:val="0"/>
      <w:autoSpaceDE w:val="0"/>
      <w:autoSpaceDN w:val="0"/>
      <w:adjustRightInd w:val="0"/>
      <w:ind w:left="284"/>
      <w:textAlignment w:val="baseline"/>
    </w:pPr>
    <w:rPr>
      <w:rFonts w:ascii="Arial" w:eastAsia="Malgun Gothic" w:hAnsi="Arial"/>
      <w:kern w:val="0"/>
      <w:sz w:val="20"/>
      <w:szCs w:val="20"/>
      <w:lang w:val="en-GB"/>
    </w:rPr>
  </w:style>
  <w:style w:type="paragraph" w:styleId="15">
    <w:name w:val="index 1"/>
    <w:basedOn w:val="a"/>
    <w:next w:val="a"/>
    <w:autoRedefine/>
    <w:uiPriority w:val="99"/>
    <w:semiHidden/>
    <w:unhideWhenUsed/>
    <w:rsid w:val="001F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8836">
      <w:bodyDiv w:val="1"/>
      <w:marLeft w:val="0"/>
      <w:marRight w:val="0"/>
      <w:marTop w:val="0"/>
      <w:marBottom w:val="0"/>
      <w:divBdr>
        <w:top w:val="none" w:sz="0" w:space="0" w:color="auto"/>
        <w:left w:val="none" w:sz="0" w:space="0" w:color="auto"/>
        <w:bottom w:val="none" w:sz="0" w:space="0" w:color="auto"/>
        <w:right w:val="none" w:sz="0" w:space="0" w:color="auto"/>
      </w:divBdr>
    </w:div>
    <w:div w:id="287395736">
      <w:bodyDiv w:val="1"/>
      <w:marLeft w:val="0"/>
      <w:marRight w:val="0"/>
      <w:marTop w:val="0"/>
      <w:marBottom w:val="0"/>
      <w:divBdr>
        <w:top w:val="none" w:sz="0" w:space="0" w:color="auto"/>
        <w:left w:val="none" w:sz="0" w:space="0" w:color="auto"/>
        <w:bottom w:val="none" w:sz="0" w:space="0" w:color="auto"/>
        <w:right w:val="none" w:sz="0" w:space="0" w:color="auto"/>
      </w:divBdr>
      <w:divsChild>
        <w:div w:id="152531563">
          <w:marLeft w:val="120"/>
          <w:marRight w:val="120"/>
          <w:marTop w:val="120"/>
          <w:marBottom w:val="120"/>
          <w:divBdr>
            <w:top w:val="none" w:sz="0" w:space="0" w:color="auto"/>
            <w:left w:val="none" w:sz="0" w:space="0" w:color="auto"/>
            <w:bottom w:val="none" w:sz="0" w:space="0" w:color="auto"/>
            <w:right w:val="none" w:sz="0" w:space="0" w:color="auto"/>
          </w:divBdr>
        </w:div>
      </w:divsChild>
    </w:div>
    <w:div w:id="157230532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984</Words>
  <Characters>5612</Characters>
  <Application>Microsoft Office Word</Application>
  <DocSecurity>0</DocSecurity>
  <Lines>46</Lines>
  <Paragraphs>13</Paragraphs>
  <ScaleCrop>false</ScaleCrop>
  <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2</cp:revision>
  <dcterms:created xsi:type="dcterms:W3CDTF">2021-01-15T03:14:00Z</dcterms:created>
  <dcterms:modified xsi:type="dcterms:W3CDTF">2021-01-15T03:14:00Z</dcterms:modified>
</cp:coreProperties>
</file>